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B4" w:rsidRDefault="000828B4"/>
    <w:p w:rsidR="000828B4" w:rsidRPr="001B2334" w:rsidRDefault="000828B4" w:rsidP="001B2334">
      <w:pPr>
        <w:jc w:val="center"/>
        <w:rPr>
          <w:rFonts w:ascii="Copperplate Gothic Bold" w:hAnsi="Copperplate Gothic Bold"/>
          <w:sz w:val="36"/>
          <w:szCs w:val="36"/>
        </w:rPr>
      </w:pPr>
      <w:r w:rsidRPr="007B1117">
        <w:rPr>
          <w:rFonts w:ascii="Copperplate Gothic Bold" w:hAnsi="Copperplate Gothic Bold"/>
          <w:sz w:val="36"/>
          <w:szCs w:val="36"/>
        </w:rPr>
        <w:t>Behavioral Intervention Workshops</w:t>
      </w:r>
      <w:bookmarkStart w:id="0" w:name="_GoBack"/>
      <w:bookmarkEnd w:id="0"/>
    </w:p>
    <w:tbl>
      <w:tblPr>
        <w:tblStyle w:val="LightShading-Accent1"/>
        <w:tblW w:w="9760" w:type="dxa"/>
        <w:tblLook w:val="04A0" w:firstRow="1" w:lastRow="0" w:firstColumn="1" w:lastColumn="0" w:noHBand="0" w:noVBand="1"/>
      </w:tblPr>
      <w:tblGrid>
        <w:gridCol w:w="1276"/>
        <w:gridCol w:w="4448"/>
        <w:gridCol w:w="774"/>
        <w:gridCol w:w="3262"/>
      </w:tblGrid>
      <w:tr w:rsidR="00082330" w:rsidTr="005B6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A3F8C" w:rsidRPr="00A73751" w:rsidRDefault="00EA3F8C">
            <w:pPr>
              <w:rPr>
                <w:rFonts w:ascii="Copperplate Gothic Bold" w:hAnsi="Copperplate Gothic Bold"/>
              </w:rPr>
            </w:pPr>
            <w:r w:rsidRPr="00A73751">
              <w:rPr>
                <w:rFonts w:ascii="Copperplate Gothic Bold" w:hAnsi="Copperplate Gothic Bold"/>
              </w:rPr>
              <w:t>Date</w:t>
            </w:r>
          </w:p>
        </w:tc>
        <w:tc>
          <w:tcPr>
            <w:tcW w:w="4448" w:type="dxa"/>
          </w:tcPr>
          <w:p w:rsidR="00EA3F8C" w:rsidRPr="00A73751" w:rsidRDefault="00EA3F8C">
            <w:pPr>
              <w:cnfStyle w:val="100000000000" w:firstRow="1" w:lastRow="0" w:firstColumn="0" w:lastColumn="0" w:oddVBand="0" w:evenVBand="0" w:oddHBand="0" w:evenHBand="0" w:firstRowFirstColumn="0" w:firstRowLastColumn="0" w:lastRowFirstColumn="0" w:lastRowLastColumn="0"/>
              <w:rPr>
                <w:rFonts w:ascii="Copperplate Gothic Bold" w:hAnsi="Copperplate Gothic Bold"/>
              </w:rPr>
            </w:pPr>
            <w:r w:rsidRPr="00A73751">
              <w:rPr>
                <w:rFonts w:ascii="Copperplate Gothic Bold" w:hAnsi="Copperplate Gothic Bold"/>
              </w:rPr>
              <w:t>Workshop</w:t>
            </w:r>
          </w:p>
        </w:tc>
        <w:tc>
          <w:tcPr>
            <w:tcW w:w="774" w:type="dxa"/>
          </w:tcPr>
          <w:p w:rsidR="00EA3F8C" w:rsidRPr="00A73751" w:rsidRDefault="00EA3F8C">
            <w:pPr>
              <w:cnfStyle w:val="100000000000" w:firstRow="1" w:lastRow="0" w:firstColumn="0" w:lastColumn="0" w:oddVBand="0" w:evenVBand="0" w:oddHBand="0" w:evenHBand="0" w:firstRowFirstColumn="0" w:firstRowLastColumn="0" w:lastRowFirstColumn="0" w:lastRowLastColumn="0"/>
              <w:rPr>
                <w:rFonts w:ascii="Copperplate Gothic Bold" w:hAnsi="Copperplate Gothic Bold"/>
              </w:rPr>
            </w:pPr>
            <w:r w:rsidRPr="00A73751">
              <w:rPr>
                <w:rFonts w:ascii="Copperplate Gothic Bold" w:hAnsi="Copperplate Gothic Bold"/>
              </w:rPr>
              <w:t>Time</w:t>
            </w:r>
          </w:p>
        </w:tc>
        <w:tc>
          <w:tcPr>
            <w:tcW w:w="3262" w:type="dxa"/>
          </w:tcPr>
          <w:p w:rsidR="00EA3F8C" w:rsidRPr="00A73751" w:rsidRDefault="00EA3F8C">
            <w:pPr>
              <w:cnfStyle w:val="100000000000" w:firstRow="1" w:lastRow="0" w:firstColumn="0" w:lastColumn="0" w:oddVBand="0" w:evenVBand="0" w:oddHBand="0" w:evenHBand="0" w:firstRowFirstColumn="0" w:firstRowLastColumn="0" w:lastRowFirstColumn="0" w:lastRowLastColumn="0"/>
              <w:rPr>
                <w:rFonts w:ascii="Copperplate Gothic Bold" w:hAnsi="Copperplate Gothic Bold"/>
              </w:rPr>
            </w:pPr>
            <w:r w:rsidRPr="00A73751">
              <w:rPr>
                <w:rFonts w:ascii="Copperplate Gothic Bold" w:hAnsi="Copperplate Gothic Bold"/>
              </w:rPr>
              <w:t>Location</w:t>
            </w:r>
          </w:p>
        </w:tc>
      </w:tr>
      <w:tr w:rsidR="00082330"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A3F8C" w:rsidRPr="00FE28A2" w:rsidRDefault="00EA3F8C" w:rsidP="000828B4">
            <w:r w:rsidRPr="00FE28A2">
              <w:t>September</w:t>
            </w:r>
          </w:p>
        </w:tc>
        <w:tc>
          <w:tcPr>
            <w:tcW w:w="4448" w:type="dxa"/>
          </w:tcPr>
          <w:p w:rsidR="00EA3F8C" w:rsidRPr="00FE28A2" w:rsidRDefault="00EA3F8C">
            <w:pPr>
              <w:cnfStyle w:val="000000100000" w:firstRow="0" w:lastRow="0" w:firstColumn="0" w:lastColumn="0" w:oddVBand="0" w:evenVBand="0" w:oddHBand="1" w:evenHBand="0" w:firstRowFirstColumn="0" w:firstRowLastColumn="0" w:lastRowFirstColumn="0" w:lastRowLastColumn="0"/>
            </w:pPr>
          </w:p>
        </w:tc>
        <w:tc>
          <w:tcPr>
            <w:tcW w:w="774" w:type="dxa"/>
          </w:tcPr>
          <w:p w:rsidR="00EA3F8C" w:rsidRPr="00FE28A2" w:rsidRDefault="00EA3F8C">
            <w:pPr>
              <w:cnfStyle w:val="000000100000" w:firstRow="0" w:lastRow="0" w:firstColumn="0" w:lastColumn="0" w:oddVBand="0" w:evenVBand="0" w:oddHBand="1" w:evenHBand="0" w:firstRowFirstColumn="0" w:firstRowLastColumn="0" w:lastRowFirstColumn="0" w:lastRowLastColumn="0"/>
            </w:pPr>
          </w:p>
        </w:tc>
        <w:tc>
          <w:tcPr>
            <w:tcW w:w="3262" w:type="dxa"/>
          </w:tcPr>
          <w:p w:rsidR="00EA3F8C" w:rsidRPr="00FE28A2" w:rsidRDefault="00EA3F8C">
            <w:pPr>
              <w:cnfStyle w:val="000000100000" w:firstRow="0" w:lastRow="0" w:firstColumn="0" w:lastColumn="0" w:oddVBand="0" w:evenVBand="0" w:oddHBand="1" w:evenHBand="0" w:firstRowFirstColumn="0" w:firstRowLastColumn="0" w:lastRowFirstColumn="0" w:lastRowLastColumn="0"/>
            </w:pPr>
          </w:p>
        </w:tc>
      </w:tr>
      <w:tr w:rsidR="00082330"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EA3F8C" w:rsidRPr="00FE28A2" w:rsidRDefault="00EA3F8C" w:rsidP="000828B4">
            <w:r w:rsidRPr="00FE28A2">
              <w:t>9</w:t>
            </w:r>
          </w:p>
        </w:tc>
        <w:tc>
          <w:tcPr>
            <w:tcW w:w="4448" w:type="dxa"/>
          </w:tcPr>
          <w:p w:rsidR="007B1117" w:rsidRPr="00FE28A2" w:rsidRDefault="007B1117" w:rsidP="007B1117">
            <w:pPr>
              <w:jc w:val="both"/>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Sexual Assault</w:t>
            </w:r>
          </w:p>
          <w:p w:rsidR="00EA3F8C" w:rsidRPr="00FE28A2" w:rsidRDefault="008A35C7" w:rsidP="008A35C7">
            <w:pPr>
              <w:jc w:val="both"/>
              <w:cnfStyle w:val="000000000000" w:firstRow="0" w:lastRow="0" w:firstColumn="0" w:lastColumn="0" w:oddVBand="0" w:evenVBand="0" w:oddHBand="0" w:evenHBand="0" w:firstRowFirstColumn="0" w:firstRowLastColumn="0" w:lastRowFirstColumn="0" w:lastRowLastColumn="0"/>
            </w:pPr>
            <w:r w:rsidRPr="00FE28A2">
              <w:t>E</w:t>
            </w:r>
            <w:r w:rsidR="00082330" w:rsidRPr="00FE28A2">
              <w:t>ducating college students about sexual assault has become a hot topic around the country. The workshop will cover what constitute sexual assault and how college students can protect themselves from criminal charges</w:t>
            </w:r>
            <w:r w:rsidR="008A6AFD" w:rsidRPr="00FE28A2">
              <w:t>.</w:t>
            </w:r>
          </w:p>
        </w:tc>
        <w:tc>
          <w:tcPr>
            <w:tcW w:w="774" w:type="dxa"/>
          </w:tcPr>
          <w:p w:rsidR="00EA3F8C" w:rsidRPr="00FE28A2" w:rsidRDefault="00582D41">
            <w:pPr>
              <w:cnfStyle w:val="000000000000" w:firstRow="0" w:lastRow="0" w:firstColumn="0" w:lastColumn="0" w:oddVBand="0" w:evenVBand="0" w:oddHBand="0" w:evenHBand="0" w:firstRowFirstColumn="0" w:firstRowLastColumn="0" w:lastRowFirstColumn="0" w:lastRowLastColumn="0"/>
            </w:pPr>
            <w:r w:rsidRPr="00FE28A2">
              <w:t>11am</w:t>
            </w:r>
          </w:p>
        </w:tc>
        <w:tc>
          <w:tcPr>
            <w:tcW w:w="3262" w:type="dxa"/>
          </w:tcPr>
          <w:p w:rsidR="00EA3F8C" w:rsidRPr="00FE28A2" w:rsidRDefault="00FE28A2">
            <w:pPr>
              <w:cnfStyle w:val="000000000000" w:firstRow="0" w:lastRow="0" w:firstColumn="0" w:lastColumn="0" w:oddVBand="0" w:evenVBand="0" w:oddHBand="0" w:evenHBand="0" w:firstRowFirstColumn="0" w:firstRowLastColumn="0" w:lastRowFirstColumn="0" w:lastRowLastColumn="0"/>
            </w:pPr>
            <w:r w:rsidRPr="00FE28A2">
              <w:t>Business Building Auditorium</w:t>
            </w:r>
          </w:p>
        </w:tc>
      </w:tr>
      <w:tr w:rsidR="00082330"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A3F8C" w:rsidRPr="00FE28A2" w:rsidRDefault="00EA3F8C">
            <w:r w:rsidRPr="00FE28A2">
              <w:t>9</w:t>
            </w:r>
          </w:p>
        </w:tc>
        <w:tc>
          <w:tcPr>
            <w:tcW w:w="4448" w:type="dxa"/>
          </w:tcPr>
          <w:p w:rsidR="00EA3F8C" w:rsidRPr="00FE28A2" w:rsidRDefault="00EA3F8C">
            <w:pPr>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Sexual Assault</w:t>
            </w:r>
          </w:p>
        </w:tc>
        <w:tc>
          <w:tcPr>
            <w:tcW w:w="774" w:type="dxa"/>
          </w:tcPr>
          <w:p w:rsidR="00EA3F8C" w:rsidRPr="00FE28A2" w:rsidRDefault="00582D41">
            <w:pPr>
              <w:cnfStyle w:val="000000100000" w:firstRow="0" w:lastRow="0" w:firstColumn="0" w:lastColumn="0" w:oddVBand="0" w:evenVBand="0" w:oddHBand="1" w:evenHBand="0" w:firstRowFirstColumn="0" w:firstRowLastColumn="0" w:lastRowFirstColumn="0" w:lastRowLastColumn="0"/>
            </w:pPr>
            <w:r w:rsidRPr="00FE28A2">
              <w:t>5pm</w:t>
            </w:r>
          </w:p>
        </w:tc>
        <w:tc>
          <w:tcPr>
            <w:tcW w:w="3262" w:type="dxa"/>
          </w:tcPr>
          <w:p w:rsidR="00EA3F8C" w:rsidRPr="00FE28A2" w:rsidRDefault="005B62C5">
            <w:pPr>
              <w:cnfStyle w:val="000000100000" w:firstRow="0" w:lastRow="0" w:firstColumn="0" w:lastColumn="0" w:oddVBand="0" w:evenVBand="0" w:oddHBand="1" w:evenHBand="0" w:firstRowFirstColumn="0" w:firstRowLastColumn="0" w:lastRowFirstColumn="0" w:lastRowLastColumn="0"/>
            </w:pPr>
            <w:r w:rsidRPr="00FE28A2">
              <w:t>Caldwell Hall Cross/Phipps</w:t>
            </w:r>
          </w:p>
        </w:tc>
      </w:tr>
      <w:tr w:rsidR="00082330"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EA3F8C" w:rsidRPr="00FE28A2" w:rsidRDefault="00EA3F8C" w:rsidP="00DC3970"/>
        </w:tc>
        <w:tc>
          <w:tcPr>
            <w:tcW w:w="4448" w:type="dxa"/>
          </w:tcPr>
          <w:p w:rsidR="00EB7075" w:rsidRPr="00FE28A2" w:rsidRDefault="00EB7075" w:rsidP="007B1117">
            <w:pPr>
              <w:jc w:val="both"/>
              <w:cnfStyle w:val="000000000000" w:firstRow="0" w:lastRow="0" w:firstColumn="0" w:lastColumn="0" w:oddVBand="0" w:evenVBand="0" w:oddHBand="0" w:evenHBand="0" w:firstRowFirstColumn="0" w:firstRowLastColumn="0" w:lastRowFirstColumn="0" w:lastRowLastColumn="0"/>
            </w:pPr>
          </w:p>
        </w:tc>
        <w:tc>
          <w:tcPr>
            <w:tcW w:w="774" w:type="dxa"/>
          </w:tcPr>
          <w:p w:rsidR="00EA3F8C" w:rsidRPr="00FE28A2" w:rsidRDefault="00EA3F8C">
            <w:pPr>
              <w:cnfStyle w:val="000000000000" w:firstRow="0" w:lastRow="0" w:firstColumn="0" w:lastColumn="0" w:oddVBand="0" w:evenVBand="0" w:oddHBand="0" w:evenHBand="0" w:firstRowFirstColumn="0" w:firstRowLastColumn="0" w:lastRowFirstColumn="0" w:lastRowLastColumn="0"/>
            </w:pPr>
          </w:p>
        </w:tc>
        <w:tc>
          <w:tcPr>
            <w:tcW w:w="3262" w:type="dxa"/>
          </w:tcPr>
          <w:p w:rsidR="00EA3F8C" w:rsidRPr="00FE28A2" w:rsidRDefault="00EA3F8C">
            <w:pPr>
              <w:cnfStyle w:val="000000000000" w:firstRow="0" w:lastRow="0" w:firstColumn="0" w:lastColumn="0" w:oddVBand="0" w:evenVBand="0" w:oddHBand="0" w:evenHBand="0" w:firstRowFirstColumn="0" w:firstRowLastColumn="0" w:lastRowFirstColumn="0" w:lastRowLastColumn="0"/>
            </w:pP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23</w:t>
            </w:r>
          </w:p>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rPr>
                <w:rFonts w:ascii="Copperplate Gothic Light" w:hAnsi="Copperplate Gothic Light"/>
                <w:b/>
              </w:rPr>
            </w:pPr>
            <w:r w:rsidRPr="00FE28A2">
              <w:rPr>
                <w:rFonts w:ascii="Copperplate Gothic Light" w:hAnsi="Copperplate Gothic Light"/>
                <w:b/>
              </w:rPr>
              <w:t>Conflict Management</w:t>
            </w:r>
          </w:p>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pPr>
            <w:r w:rsidRPr="00FE28A2">
              <w:t>The workshop will provide information that can be utilized to resolve conflicts in an effective manner.</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11am</w:t>
            </w: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Business Building Auditorium</w:t>
            </w: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23</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Conflict Management</w:t>
            </w: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5pm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Caldwell Hall Cross/Phipps</w:t>
            </w: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October</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14</w:t>
            </w:r>
          </w:p>
        </w:tc>
        <w:tc>
          <w:tcPr>
            <w:tcW w:w="4448" w:type="dxa"/>
          </w:tcPr>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Substance Use and Abuse</w:t>
            </w:r>
          </w:p>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pPr>
            <w:r w:rsidRPr="00FE28A2">
              <w:t xml:space="preserve">College students are faced with the temptation of allowing friends to coerced them into using and abusing drugs and alcohol. The workshop will provide information that will assist students from falling into traps that could ultimately alter their lives. </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11am</w:t>
            </w: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Business Building Auditorium</w:t>
            </w: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14</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Substance Use and Abuse</w:t>
            </w: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5pm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Caldwell Hall Cross/Phipps</w:t>
            </w: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tc>
        <w:tc>
          <w:tcPr>
            <w:tcW w:w="4448" w:type="dxa"/>
          </w:tcPr>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pP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28</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Stress Management</w:t>
            </w:r>
          </w:p>
          <w:p w:rsidR="00FE28A2" w:rsidRPr="00FE28A2" w:rsidRDefault="00FE28A2" w:rsidP="00FE28A2">
            <w:pPr>
              <w:jc w:val="both"/>
              <w:cnfStyle w:val="000000000000" w:firstRow="0" w:lastRow="0" w:firstColumn="0" w:lastColumn="0" w:oddVBand="0" w:evenVBand="0" w:oddHBand="0" w:evenHBand="0" w:firstRowFirstColumn="0" w:firstRowLastColumn="0" w:lastRowFirstColumn="0" w:lastRowLastColumn="0"/>
            </w:pPr>
            <w:r w:rsidRPr="00FE28A2">
              <w:t>The subject of stress has become a common topic of conversation. We often hear friends, classmates, and family members talk about the problems they have in managing stresses of everyday living. The workshop will teach students how to deal and release stress.</w:t>
            </w: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11am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Business Building Auditorium</w:t>
            </w: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28</w:t>
            </w:r>
          </w:p>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Stress Management</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5pm</w:t>
            </w: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Caldwell Hall Cross/Phipps</w:t>
            </w: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 xml:space="preserve">November </w:t>
            </w:r>
          </w:p>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11</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Social Media</w:t>
            </w:r>
          </w:p>
          <w:p w:rsidR="00FE28A2" w:rsidRPr="00FE28A2" w:rsidRDefault="00FE28A2" w:rsidP="00FE28A2">
            <w:pPr>
              <w:jc w:val="both"/>
              <w:cnfStyle w:val="000000000000" w:firstRow="0" w:lastRow="0" w:firstColumn="0" w:lastColumn="0" w:oddVBand="0" w:evenVBand="0" w:oddHBand="0" w:evenHBand="0" w:firstRowFirstColumn="0" w:firstRowLastColumn="0" w:lastRowFirstColumn="0" w:lastRowLastColumn="0"/>
            </w:pPr>
            <w:r w:rsidRPr="00FE28A2">
              <w:t>The subject of social media has become a hot topic for today’s college students. The workshop will teach students the proper way college students should utilize social media.</w:t>
            </w: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11am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Business Building Auditorium</w:t>
            </w: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11</w:t>
            </w:r>
          </w:p>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Social Media</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5pm</w:t>
            </w: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Caldwell Hall Cross/Phipps</w:t>
            </w:r>
          </w:p>
        </w:tc>
      </w:tr>
      <w:tr w:rsidR="00FE28A2" w:rsidRPr="00FE28A2" w:rsidTr="005B62C5">
        <w:trPr>
          <w:trHeight w:val="485"/>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lastRenderedPageBreak/>
              <w:t>18</w:t>
            </w:r>
          </w:p>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Career Development</w:t>
            </w:r>
          </w:p>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pPr>
            <w:r w:rsidRPr="00FE28A2">
              <w:t xml:space="preserve">College students are faced with the pressures of finding employment after college. The workshop will provide the student with the correct steps that should be taken to gain employment after college.   </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11am</w:t>
            </w: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Business Building Auditorium</w:t>
            </w: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18</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Career Development</w:t>
            </w: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5pm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Caldwell Hall Cross/Phipps</w:t>
            </w: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January</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27</w:t>
            </w:r>
          </w:p>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Avoiding Plagiarism</w:t>
            </w:r>
          </w:p>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pPr>
            <w:r w:rsidRPr="00FE28A2">
              <w:t>College students sometimes like to use other people work as their own and do not give the rightful owner credit. The workshop will teach students the do’s and don’ts about plagiarism.</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11am</w:t>
            </w: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Business Building Auditorium</w:t>
            </w: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27</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Avoiding Plagiarism</w:t>
            </w: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5pm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Caldwell Hall Cross/Phipps</w:t>
            </w: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tc>
        <w:tc>
          <w:tcPr>
            <w:tcW w:w="4448"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 xml:space="preserve"> </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February</w:t>
            </w:r>
          </w:p>
        </w:tc>
        <w:tc>
          <w:tcPr>
            <w:tcW w:w="4448" w:type="dxa"/>
          </w:tcPr>
          <w:p w:rsidR="00FE28A2" w:rsidRPr="00FE28A2" w:rsidRDefault="00FE28A2" w:rsidP="00FE28A2">
            <w:pPr>
              <w:jc w:val="both"/>
              <w:cnfStyle w:val="000000000000" w:firstRow="0" w:lastRow="0" w:firstColumn="0" w:lastColumn="0" w:oddVBand="0" w:evenVBand="0" w:oddHBand="0" w:evenHBand="0" w:firstRowFirstColumn="0" w:firstRowLastColumn="0" w:lastRowFirstColumn="0" w:lastRowLastColumn="0"/>
            </w:pP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10</w:t>
            </w:r>
          </w:p>
        </w:tc>
        <w:tc>
          <w:tcPr>
            <w:tcW w:w="4448" w:type="dxa"/>
          </w:tcPr>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Balance and Time Management</w:t>
            </w:r>
          </w:p>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pPr>
            <w:r w:rsidRPr="00FE28A2">
              <w:t>A challenge for many college students is how to achieve a sense of organization and balance. The workshop will give new tips and ideas about how to become organized in your academic pursuits as well as in your general lifestyle.</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11am</w:t>
            </w: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Business Building Auditorium</w:t>
            </w: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10</w:t>
            </w:r>
          </w:p>
        </w:tc>
        <w:tc>
          <w:tcPr>
            <w:tcW w:w="4448"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Balance and Time Management</w:t>
            </w:r>
          </w:p>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5pm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Caldwell Hall Cross/Phipps</w:t>
            </w:r>
          </w:p>
        </w:tc>
      </w:tr>
      <w:tr w:rsidR="00FE28A2" w:rsidRP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tc>
        <w:tc>
          <w:tcPr>
            <w:tcW w:w="4448" w:type="dxa"/>
          </w:tcPr>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pP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3262"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p>
        </w:tc>
      </w:tr>
      <w:tr w:rsidR="00FE28A2" w:rsidRP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17</w:t>
            </w:r>
          </w:p>
        </w:tc>
        <w:tc>
          <w:tcPr>
            <w:tcW w:w="4448" w:type="dxa"/>
          </w:tcPr>
          <w:p w:rsidR="00FE28A2" w:rsidRPr="00FE28A2" w:rsidRDefault="00FE28A2" w:rsidP="00FE28A2">
            <w:pPr>
              <w:jc w:val="both"/>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Personal Responsibility</w:t>
            </w:r>
          </w:p>
          <w:p w:rsidR="00FE28A2" w:rsidRPr="00FE28A2" w:rsidRDefault="00FE28A2" w:rsidP="00FE28A2">
            <w:pPr>
              <w:jc w:val="both"/>
              <w:cnfStyle w:val="000000000000" w:firstRow="0" w:lastRow="0" w:firstColumn="0" w:lastColumn="0" w:oddVBand="0" w:evenVBand="0" w:oddHBand="0" w:evenHBand="0" w:firstRowFirstColumn="0" w:firstRowLastColumn="0" w:lastRowFirstColumn="0" w:lastRowLastColumn="0"/>
            </w:pPr>
            <w:r w:rsidRPr="00FE28A2">
              <w:t>College students sometimes blame others for their downfalls and fell to realize that the majority of the time it’s their fault. The workshop will discuss how to accept responsibility for your actions.</w:t>
            </w:r>
          </w:p>
        </w:tc>
        <w:tc>
          <w:tcPr>
            <w:tcW w:w="774"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11am</w:t>
            </w:r>
          </w:p>
        </w:tc>
        <w:tc>
          <w:tcPr>
            <w:tcW w:w="3262" w:type="dxa"/>
          </w:tcPr>
          <w:p w:rsidR="00FE28A2" w:rsidRPr="00FE28A2" w:rsidRDefault="00FE28A2" w:rsidP="00FE28A2">
            <w:pPr>
              <w:cnfStyle w:val="000000000000" w:firstRow="0" w:lastRow="0" w:firstColumn="0" w:lastColumn="0" w:oddVBand="0" w:evenVBand="0" w:oddHBand="0" w:evenHBand="0" w:firstRowFirstColumn="0" w:firstRowLastColumn="0" w:lastRowFirstColumn="0" w:lastRowLastColumn="0"/>
            </w:pPr>
            <w:r w:rsidRPr="00FE28A2">
              <w:t>Business Building Auditorium</w:t>
            </w:r>
          </w:p>
        </w:tc>
      </w:tr>
      <w:tr w:rsid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Pr="00FE28A2" w:rsidRDefault="00FE28A2" w:rsidP="00FE28A2">
            <w:r w:rsidRPr="00FE28A2">
              <w:t>17</w:t>
            </w:r>
          </w:p>
        </w:tc>
        <w:tc>
          <w:tcPr>
            <w:tcW w:w="4448" w:type="dxa"/>
          </w:tcPr>
          <w:p w:rsidR="00FE28A2" w:rsidRPr="00FE28A2" w:rsidRDefault="00FE28A2" w:rsidP="00FE28A2">
            <w:pPr>
              <w:jc w:val="both"/>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r w:rsidRPr="00FE28A2">
              <w:rPr>
                <w:rFonts w:ascii="Copperplate Gothic Bold" w:hAnsi="Copperplate Gothic Bold"/>
              </w:rPr>
              <w:t>Personal Responsibility</w:t>
            </w:r>
          </w:p>
        </w:tc>
        <w:tc>
          <w:tcPr>
            <w:tcW w:w="774" w:type="dxa"/>
          </w:tcPr>
          <w:p w:rsidR="00FE28A2" w:rsidRP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5pm</w:t>
            </w:r>
          </w:p>
        </w:tc>
        <w:tc>
          <w:tcPr>
            <w:tcW w:w="3262" w:type="dxa"/>
          </w:tcPr>
          <w:p w:rsidR="00FE28A2" w:rsidRDefault="00FE28A2" w:rsidP="00FE28A2">
            <w:pPr>
              <w:cnfStyle w:val="000000100000" w:firstRow="0" w:lastRow="0" w:firstColumn="0" w:lastColumn="0" w:oddVBand="0" w:evenVBand="0" w:oddHBand="1" w:evenHBand="0" w:firstRowFirstColumn="0" w:firstRowLastColumn="0" w:lastRowFirstColumn="0" w:lastRowLastColumn="0"/>
            </w:pPr>
            <w:r w:rsidRPr="00FE28A2">
              <w:t>Caldwell Hall Cross/Phipps</w:t>
            </w:r>
          </w:p>
        </w:tc>
      </w:tr>
      <w:tr w:rsidR="00FE28A2" w:rsidTr="005B62C5">
        <w:tc>
          <w:tcPr>
            <w:cnfStyle w:val="001000000000" w:firstRow="0" w:lastRow="0" w:firstColumn="1" w:lastColumn="0" w:oddVBand="0" w:evenVBand="0" w:oddHBand="0" w:evenHBand="0" w:firstRowFirstColumn="0" w:firstRowLastColumn="0" w:lastRowFirstColumn="0" w:lastRowLastColumn="0"/>
            <w:tcW w:w="1276" w:type="dxa"/>
          </w:tcPr>
          <w:p w:rsidR="00FE28A2" w:rsidRDefault="00FE28A2" w:rsidP="00FE28A2"/>
        </w:tc>
        <w:tc>
          <w:tcPr>
            <w:tcW w:w="4448" w:type="dxa"/>
          </w:tcPr>
          <w:p w:rsidR="00FE28A2" w:rsidRPr="001B2334" w:rsidRDefault="00FE28A2" w:rsidP="00FE28A2">
            <w:pPr>
              <w:cnfStyle w:val="000000000000" w:firstRow="0" w:lastRow="0" w:firstColumn="0" w:lastColumn="0" w:oddVBand="0" w:evenVBand="0" w:oddHBand="0" w:evenHBand="0" w:firstRowFirstColumn="0" w:firstRowLastColumn="0" w:lastRowFirstColumn="0" w:lastRowLastColumn="0"/>
              <w:rPr>
                <w:rFonts w:ascii="Copperplate Gothic Bold" w:hAnsi="Copperplate Gothic Bold"/>
              </w:rPr>
            </w:pPr>
          </w:p>
        </w:tc>
        <w:tc>
          <w:tcPr>
            <w:tcW w:w="774" w:type="dxa"/>
          </w:tcPr>
          <w:p w:rsidR="00FE28A2" w:rsidRDefault="00FE28A2" w:rsidP="00FE28A2">
            <w:pPr>
              <w:cnfStyle w:val="000000000000" w:firstRow="0" w:lastRow="0" w:firstColumn="0" w:lastColumn="0" w:oddVBand="0" w:evenVBand="0" w:oddHBand="0" w:evenHBand="0" w:firstRowFirstColumn="0" w:firstRowLastColumn="0" w:lastRowFirstColumn="0" w:lastRowLastColumn="0"/>
            </w:pPr>
          </w:p>
        </w:tc>
        <w:tc>
          <w:tcPr>
            <w:tcW w:w="3262" w:type="dxa"/>
          </w:tcPr>
          <w:p w:rsidR="00FE28A2" w:rsidRDefault="00FE28A2" w:rsidP="00FE28A2">
            <w:pPr>
              <w:cnfStyle w:val="000000000000" w:firstRow="0" w:lastRow="0" w:firstColumn="0" w:lastColumn="0" w:oddVBand="0" w:evenVBand="0" w:oddHBand="0" w:evenHBand="0" w:firstRowFirstColumn="0" w:firstRowLastColumn="0" w:lastRowFirstColumn="0" w:lastRowLastColumn="0"/>
            </w:pPr>
          </w:p>
        </w:tc>
      </w:tr>
      <w:tr w:rsidR="00FE28A2" w:rsidTr="005B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FE28A2" w:rsidRDefault="00FE28A2" w:rsidP="00FE28A2"/>
        </w:tc>
        <w:tc>
          <w:tcPr>
            <w:tcW w:w="4448" w:type="dxa"/>
          </w:tcPr>
          <w:p w:rsidR="00FE28A2" w:rsidRPr="001B2334" w:rsidRDefault="00FE28A2" w:rsidP="00FE28A2">
            <w:pPr>
              <w:cnfStyle w:val="000000100000" w:firstRow="0" w:lastRow="0" w:firstColumn="0" w:lastColumn="0" w:oddVBand="0" w:evenVBand="0" w:oddHBand="1" w:evenHBand="0" w:firstRowFirstColumn="0" w:firstRowLastColumn="0" w:lastRowFirstColumn="0" w:lastRowLastColumn="0"/>
              <w:rPr>
                <w:rFonts w:ascii="Copperplate Gothic Bold" w:hAnsi="Copperplate Gothic Bold"/>
              </w:rPr>
            </w:pPr>
          </w:p>
        </w:tc>
        <w:tc>
          <w:tcPr>
            <w:tcW w:w="774" w:type="dxa"/>
          </w:tcPr>
          <w:p w:rsidR="00FE28A2" w:rsidRDefault="00FE28A2" w:rsidP="00FE28A2">
            <w:pPr>
              <w:cnfStyle w:val="000000100000" w:firstRow="0" w:lastRow="0" w:firstColumn="0" w:lastColumn="0" w:oddVBand="0" w:evenVBand="0" w:oddHBand="1" w:evenHBand="0" w:firstRowFirstColumn="0" w:firstRowLastColumn="0" w:lastRowFirstColumn="0" w:lastRowLastColumn="0"/>
            </w:pPr>
          </w:p>
        </w:tc>
        <w:tc>
          <w:tcPr>
            <w:tcW w:w="3262" w:type="dxa"/>
          </w:tcPr>
          <w:p w:rsidR="00FE28A2" w:rsidRDefault="00FE28A2" w:rsidP="00FE28A2">
            <w:pPr>
              <w:cnfStyle w:val="000000100000" w:firstRow="0" w:lastRow="0" w:firstColumn="0" w:lastColumn="0" w:oddVBand="0" w:evenVBand="0" w:oddHBand="1" w:evenHBand="0" w:firstRowFirstColumn="0" w:firstRowLastColumn="0" w:lastRowFirstColumn="0" w:lastRowLastColumn="0"/>
            </w:pPr>
          </w:p>
        </w:tc>
      </w:tr>
    </w:tbl>
    <w:p w:rsidR="00583A82" w:rsidRDefault="00583A82"/>
    <w:p w:rsidR="000828B4" w:rsidRPr="00583A82" w:rsidRDefault="00583A82" w:rsidP="00583A82">
      <w:pPr>
        <w:tabs>
          <w:tab w:val="left" w:pos="3852"/>
        </w:tabs>
      </w:pPr>
      <w:r>
        <w:tab/>
      </w:r>
    </w:p>
    <w:sectPr w:rsidR="000828B4" w:rsidRPr="00583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B4"/>
    <w:rsid w:val="000350A8"/>
    <w:rsid w:val="00082330"/>
    <w:rsid w:val="000828B4"/>
    <w:rsid w:val="00156715"/>
    <w:rsid w:val="001B2334"/>
    <w:rsid w:val="001C5216"/>
    <w:rsid w:val="002659F3"/>
    <w:rsid w:val="00285698"/>
    <w:rsid w:val="003F0FCE"/>
    <w:rsid w:val="00582D41"/>
    <w:rsid w:val="00583A82"/>
    <w:rsid w:val="005B2335"/>
    <w:rsid w:val="005B62C5"/>
    <w:rsid w:val="006046E1"/>
    <w:rsid w:val="007B1117"/>
    <w:rsid w:val="008A35C7"/>
    <w:rsid w:val="008A6AFD"/>
    <w:rsid w:val="00900329"/>
    <w:rsid w:val="00A21E7C"/>
    <w:rsid w:val="00A73751"/>
    <w:rsid w:val="00BB2215"/>
    <w:rsid w:val="00C131E8"/>
    <w:rsid w:val="00C359AF"/>
    <w:rsid w:val="00C800B6"/>
    <w:rsid w:val="00D30AD5"/>
    <w:rsid w:val="00DA4A7F"/>
    <w:rsid w:val="00DE4306"/>
    <w:rsid w:val="00E30D9F"/>
    <w:rsid w:val="00E5466C"/>
    <w:rsid w:val="00EA3F8C"/>
    <w:rsid w:val="00EB7075"/>
    <w:rsid w:val="00ED5C2E"/>
    <w:rsid w:val="00FB055F"/>
    <w:rsid w:val="00FC04D0"/>
    <w:rsid w:val="00FD2A5C"/>
    <w:rsid w:val="00FE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61D81-0469-43A6-AB86-5233ADA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8233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823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8233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8233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8233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8233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823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08233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08233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823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08233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F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4E8A-297C-471E-B146-A01BF04F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Owens</dc:creator>
  <cp:lastModifiedBy>Ralph Owens</cp:lastModifiedBy>
  <cp:revision>2</cp:revision>
  <cp:lastPrinted>2014-07-28T19:22:00Z</cp:lastPrinted>
  <dcterms:created xsi:type="dcterms:W3CDTF">2014-07-29T19:55:00Z</dcterms:created>
  <dcterms:modified xsi:type="dcterms:W3CDTF">2014-07-29T19:55:00Z</dcterms:modified>
</cp:coreProperties>
</file>